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94" w:rsidRPr="003174EC" w:rsidRDefault="00994F94" w:rsidP="00994F94">
      <w:pPr>
        <w:pStyle w:val="Default"/>
        <w:spacing w:before="120" w:line="245" w:lineRule="auto"/>
        <w:jc w:val="both"/>
        <w:rPr>
          <w:b/>
          <w:bCs/>
          <w:color w:val="auto"/>
          <w:sz w:val="28"/>
          <w:szCs w:val="28"/>
        </w:rPr>
      </w:pPr>
      <w:r w:rsidRPr="003174EC">
        <w:rPr>
          <w:b/>
          <w:bCs/>
          <w:color w:val="auto"/>
          <w:sz w:val="28"/>
          <w:szCs w:val="28"/>
        </w:rPr>
        <w:t>KIỂM TOÁN NHÀ NƯỚC</w:t>
      </w:r>
    </w:p>
    <w:p w:rsidR="00994F94" w:rsidRPr="003174EC" w:rsidRDefault="00D5738B" w:rsidP="00994F94">
      <w:pPr>
        <w:pStyle w:val="Default"/>
        <w:spacing w:before="120" w:line="245" w:lineRule="auto"/>
        <w:jc w:val="both"/>
        <w:rPr>
          <w:b/>
          <w:bCs/>
          <w:color w:val="auto"/>
          <w:sz w:val="28"/>
          <w:szCs w:val="28"/>
        </w:rPr>
      </w:pPr>
      <w:r w:rsidRPr="003174EC">
        <w:rPr>
          <w:b/>
          <w:bCs/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85pt;margin-top:-.1pt;width:81pt;height:0;z-index:251660288" o:connectortype="straight"/>
        </w:pict>
      </w:r>
    </w:p>
    <w:p w:rsidR="00994F94" w:rsidRPr="003174EC" w:rsidRDefault="00994F94" w:rsidP="00994F94">
      <w:pPr>
        <w:pStyle w:val="Default"/>
        <w:spacing w:before="120" w:line="245" w:lineRule="auto"/>
        <w:jc w:val="center"/>
        <w:rPr>
          <w:b/>
          <w:bCs/>
          <w:color w:val="auto"/>
          <w:sz w:val="28"/>
          <w:szCs w:val="28"/>
        </w:rPr>
      </w:pPr>
      <w:r w:rsidRPr="003174EC">
        <w:rPr>
          <w:b/>
          <w:bCs/>
          <w:color w:val="auto"/>
          <w:sz w:val="28"/>
          <w:szCs w:val="28"/>
        </w:rPr>
        <w:t>NỘI DUNG ÔN TẬP THI TUYỂN CÔNG CHỨC NĂM 2019</w:t>
      </w:r>
    </w:p>
    <w:p w:rsidR="00994F94" w:rsidRPr="003174EC" w:rsidRDefault="00994F94" w:rsidP="00994F94">
      <w:pPr>
        <w:pStyle w:val="Default"/>
        <w:spacing w:before="120" w:line="245" w:lineRule="auto"/>
        <w:jc w:val="center"/>
        <w:rPr>
          <w:b/>
          <w:bCs/>
          <w:color w:val="auto"/>
          <w:sz w:val="28"/>
          <w:szCs w:val="28"/>
        </w:rPr>
      </w:pPr>
      <w:r w:rsidRPr="003174EC">
        <w:rPr>
          <w:b/>
          <w:bCs/>
          <w:color w:val="auto"/>
          <w:sz w:val="28"/>
          <w:szCs w:val="28"/>
        </w:rPr>
        <w:t>CHUYÊN NGÀNH XÂY DỰNG (KỸ SƯ)</w:t>
      </w:r>
    </w:p>
    <w:p w:rsidR="00994F94" w:rsidRPr="003174EC" w:rsidRDefault="00994F94" w:rsidP="00994F94">
      <w:pPr>
        <w:spacing w:before="120" w:after="0" w:line="360" w:lineRule="exact"/>
        <w:jc w:val="both"/>
        <w:rPr>
          <w:b/>
          <w:sz w:val="28"/>
          <w:szCs w:val="28"/>
        </w:rPr>
      </w:pP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>I. KIẾN THỨC CHUYÊN NGÀNH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>1. Kiến thức tổng quan về chuyên ngành</w:t>
      </w:r>
    </w:p>
    <w:p w:rsidR="00994F94" w:rsidRPr="003174EC" w:rsidRDefault="00994F94" w:rsidP="00994F94">
      <w:pPr>
        <w:pStyle w:val="BodyText"/>
        <w:spacing w:before="120" w:line="245" w:lineRule="auto"/>
        <w:ind w:firstLine="720"/>
        <w:rPr>
          <w:bCs/>
          <w:i w:val="0"/>
          <w:iCs w:val="0"/>
        </w:rPr>
      </w:pPr>
      <w:r w:rsidRPr="003174EC">
        <w:rPr>
          <w:bCs/>
          <w:i w:val="0"/>
          <w:iCs w:val="0"/>
        </w:rPr>
        <w:t>1.</w:t>
      </w:r>
      <w:r w:rsidR="000E1F9A" w:rsidRPr="003174EC">
        <w:rPr>
          <w:bCs/>
          <w:i w:val="0"/>
          <w:iCs w:val="0"/>
        </w:rPr>
        <w:t xml:space="preserve">1. Quy định về </w:t>
      </w:r>
      <w:r w:rsidRPr="003174EC">
        <w:rPr>
          <w:bCs/>
          <w:i w:val="0"/>
          <w:iCs w:val="0"/>
        </w:rPr>
        <w:t>áp dụng quy chuẩn, tiêu chuẩn kỹ thuật trong khảo sát, thiết kế và thi công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1.</w:t>
      </w:r>
      <w:r w:rsidR="007D0591" w:rsidRPr="003174EC">
        <w:rPr>
          <w:sz w:val="28"/>
          <w:szCs w:val="28"/>
        </w:rPr>
        <w:t>2</w:t>
      </w:r>
      <w:r w:rsidRPr="003174EC">
        <w:rPr>
          <w:sz w:val="28"/>
          <w:szCs w:val="28"/>
        </w:rPr>
        <w:t>. Tổng quan và phân loại kết cấu bê tông, bê tông cốt thép và kết cấu gạch, đá.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 xml:space="preserve">2. Tổng quan về quản lý dự án đầu tư xây dựng công trình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2.1. Khái niệm về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2.2. Nguyên tắc, yêu cầu quản lý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2.3. Phân loại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2.4. Nội dung quản lý dự án đầu tư xây dựng công trình: Quản lý tiến độ; Quản lý chất lượng; Quản lý chi phí; Quản lý an toàn lao động và môi trường xây dựng; Quản lý rủi ro; Các nội dung quản lý khác.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2.5. Các hình thức tổ chức quản lý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bCs/>
          <w:sz w:val="28"/>
          <w:szCs w:val="28"/>
        </w:rPr>
        <w:t xml:space="preserve">3. Trình tự, thủ tục lập và thực hiện dự án đầu tư xây dựng </w:t>
      </w:r>
      <w:r w:rsidRPr="003174EC">
        <w:rPr>
          <w:b/>
          <w:sz w:val="28"/>
          <w:szCs w:val="28"/>
        </w:rPr>
        <w:t xml:space="preserve">công trình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3.1. Lập, thẩm định, phê duyệt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 xml:space="preserve">3.2. Thực hiện dự án đầu tư xây dựng công trình: Thiết kế xây dựng công trình; Giấy phép xây dựng; Quản lý thi công xây dựng công trình; Nghiệm thu, bàn giao đưa công trình vào sử dụng;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3.3. Điều chỉnh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3.4. Điều kiện năng lực của tổ chức, cá nhân trong hoạt động xây dựng.</w:t>
      </w:r>
    </w:p>
    <w:p w:rsidR="00994F94" w:rsidRPr="003174EC" w:rsidRDefault="00994F94" w:rsidP="00994F94">
      <w:pPr>
        <w:keepNext/>
        <w:widowControl w:val="0"/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3.5. Quyền và nghĩa vụ của các chủ thể tham gia thực hiện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 xml:space="preserve">4. Lựa chọn nhà thầu trong hoạt động xây dựng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4.1. Mục đích, yêu cầu của lựa chọn nhà thầu trong hoạt động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4.2. Các hình thức lựa chọn nhà thầu trong hoạt động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 xml:space="preserve">4.3. Phương thức lựa chọn nhà thầu trong hoạt động xây dựng.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lastRenderedPageBreak/>
        <w:t>4.4. Trình tự, thủ tục lựa chọn nhà thầu trong hoạt động xây dựng: Chuẩn bị lựa chọn; Tổ chức lựa chọn; Đánh giá hồ sơ dự thầu và thương thảo hợp đồng; Trình, thẩm định, phê duyệt và công khai kết quả lựa chọn nhà thầu; Hoàn thiện, ký kết hợp đồng.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b/>
          <w:bCs/>
          <w:sz w:val="28"/>
          <w:szCs w:val="28"/>
        </w:rPr>
        <w:t xml:space="preserve">5. Tổng quan về đấu thầu 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>5.1. Tư cách hợp lệ của nhà thầu; Điều kiện tham gia đấu thầu; Bảo đảm cạnh tranh trong đấu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>5.2. Yêu cầu đối với bên mời thầu, tổ chuyên gia đấu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>5.3. Đấu thầu quốc tế và ưu đãi trong đấu thầu quốc tế; Đồng tiền dự thầu, ngôn ngữ trong đấu thầu, chi phí trong đấu thầu; Quy định về thời gian trong đấu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>5.4. Điều kiện phát hành hồ sơ mời thầu, bảo đảm dự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>5.5. Các hành vi bị cấm trong đấu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bCs/>
          <w:sz w:val="28"/>
          <w:szCs w:val="28"/>
        </w:rPr>
        <w:t>5.6</w:t>
      </w:r>
      <w:r w:rsidRPr="003174EC">
        <w:rPr>
          <w:rStyle w:val="normal-h1"/>
          <w:sz w:val="28"/>
          <w:szCs w:val="28"/>
        </w:rPr>
        <w:t>. Phương thức đấu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 xml:space="preserve">5.7. </w:t>
      </w:r>
      <w:r w:rsidR="003D5AC5" w:rsidRPr="003174EC">
        <w:rPr>
          <w:rStyle w:val="normal-h1"/>
          <w:sz w:val="28"/>
          <w:szCs w:val="28"/>
        </w:rPr>
        <w:t>Các trường hợp hủy</w:t>
      </w:r>
      <w:r w:rsidRPr="003174EC">
        <w:rPr>
          <w:rStyle w:val="normal-h1"/>
          <w:sz w:val="28"/>
          <w:szCs w:val="28"/>
        </w:rPr>
        <w:t xml:space="preserve"> thầu.</w:t>
      </w:r>
    </w:p>
    <w:p w:rsidR="00994F94" w:rsidRPr="003174EC" w:rsidRDefault="00994F94" w:rsidP="00994F94">
      <w:pPr>
        <w:pStyle w:val="normal-p"/>
        <w:spacing w:before="120" w:line="245" w:lineRule="auto"/>
        <w:ind w:firstLine="720"/>
        <w:jc w:val="both"/>
        <w:rPr>
          <w:sz w:val="28"/>
          <w:szCs w:val="28"/>
        </w:rPr>
      </w:pPr>
      <w:r w:rsidRPr="003174EC">
        <w:rPr>
          <w:rStyle w:val="normal-h1"/>
          <w:sz w:val="28"/>
          <w:szCs w:val="28"/>
        </w:rPr>
        <w:t xml:space="preserve">5.8. Quyền và nghĩa vụ của các bên trong đấu thầu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 xml:space="preserve">6. Hợp đồng trong trong hoạt động xây dựng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6.1. Nguyên tắc ký kết hợp đồng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6.2. Các loại hợp đồng trong hoạt động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6.3. Hồ sơ và nội dung của hợp đồng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6.4. Quản lý thực hiện hợp đồng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6.5. Thanh toán, quyết toán hợp đồng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6.5. Xử lý tranh chấp hợp đồng.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 xml:space="preserve">7. Quản lý chi phí của dự án đầu tư xây dựng công trình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7.1. Nguyên tắc quản lý chi phí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7.2. Nội dung chi phí dự án đầu tư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7.3. Lập tổng mức đầu tư, điều chỉnh tổng mức đầu tư.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7.4. Lập dự toán, điều chỉnh dự toán xây dựng công trình.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7.5. Định mức kinh tế kỹ thuật, giá xây dựng công trình và chỉ số giá xây dựng.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</w:rPr>
      </w:pPr>
      <w:r w:rsidRPr="003174EC">
        <w:rPr>
          <w:b/>
          <w:sz w:val="28"/>
          <w:szCs w:val="28"/>
        </w:rPr>
        <w:t xml:space="preserve">8. Thanh toán, quyết toán vốn đầu tư xây dựng công trình 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8.1. Thanh toán vốn đầu tư xây dựng công trình: Nguyên tắc, căn cứ thanh toán vốn đầu tư; Tạm ứng vốn đầu tư; Thanh toán khối lượng hoàn thành; Quy trình, thủ tục thanh toán; Trách nhiệm, quyền hạn của Ban Quản lý dự án, Chủ đầu tư, nhà thầu.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lastRenderedPageBreak/>
        <w:t>8.2. Quyết toán vốn đầu tư xây dựng công trình: Khái niệm và phân loại quyết toán; Nội dung báo cáo quyết toán và hồ sơ trình duyệt quyết toán; Trình tự, thủ tục quyết toán vốn đầu tư; Thẩm tra, phê duyệt quyết toán vốn đầu tư; Trách nhiệm, quyền hạn của Ban Quản lý dự án, Chủ đầu tư, nhà thầu.</w:t>
      </w:r>
    </w:p>
    <w:p w:rsidR="00994F94" w:rsidRPr="003174EC" w:rsidRDefault="003174EC" w:rsidP="00994F94">
      <w:pPr>
        <w:spacing w:before="120" w:after="0" w:line="245" w:lineRule="auto"/>
        <w:ind w:firstLine="720"/>
        <w:jc w:val="both"/>
        <w:rPr>
          <w:b/>
          <w:sz w:val="28"/>
          <w:szCs w:val="28"/>
          <w:u w:val="single"/>
        </w:rPr>
      </w:pPr>
      <w:r w:rsidRPr="003174EC">
        <w:rPr>
          <w:b/>
          <w:sz w:val="28"/>
          <w:szCs w:val="28"/>
        </w:rPr>
        <w:t>II. TÀI LIỆU THAM KHẢ</w:t>
      </w:r>
      <w:r>
        <w:rPr>
          <w:b/>
          <w:sz w:val="28"/>
          <w:szCs w:val="28"/>
        </w:rPr>
        <w:t>O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- Luật Xây dựng và các văn bản hướng dẫn thi hành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- Luật Đấu thầu và các văn bản hướng dẫn thi hành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>- Luật đầu tư công và các văn bản hướng dẫn thi hành</w:t>
      </w:r>
    </w:p>
    <w:p w:rsidR="00994F94" w:rsidRPr="003174EC" w:rsidRDefault="00994F94" w:rsidP="00994F94">
      <w:pPr>
        <w:spacing w:before="120" w:after="0" w:line="245" w:lineRule="auto"/>
        <w:ind w:firstLine="720"/>
        <w:jc w:val="both"/>
        <w:rPr>
          <w:sz w:val="28"/>
          <w:szCs w:val="28"/>
        </w:rPr>
      </w:pPr>
      <w:r w:rsidRPr="003174EC">
        <w:rPr>
          <w:sz w:val="28"/>
          <w:szCs w:val="28"/>
        </w:rPr>
        <w:t xml:space="preserve">- Các giáo trình chuyên ngành liên quan </w:t>
      </w:r>
    </w:p>
    <w:p w:rsidR="00D86015" w:rsidRPr="003174EC" w:rsidRDefault="00D86015"/>
    <w:sectPr w:rsidR="00D86015" w:rsidRPr="003174EC" w:rsidSect="00D508E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4F94"/>
    <w:rsid w:val="00026876"/>
    <w:rsid w:val="000E1F9A"/>
    <w:rsid w:val="003174EC"/>
    <w:rsid w:val="003D5AC5"/>
    <w:rsid w:val="007D0591"/>
    <w:rsid w:val="00994F94"/>
    <w:rsid w:val="00D508E8"/>
    <w:rsid w:val="00D5738B"/>
    <w:rsid w:val="00D8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94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994F94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994F94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Default">
    <w:name w:val="Default"/>
    <w:rsid w:val="0099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94F94"/>
    <w:pPr>
      <w:spacing w:after="0" w:line="240" w:lineRule="auto"/>
      <w:jc w:val="both"/>
    </w:pPr>
    <w:rPr>
      <w:rFonts w:eastAsia="Times New Roman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94F94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A5C18-8ADA-49C9-A077-D77DEDDE602C}"/>
</file>

<file path=customXml/itemProps2.xml><?xml version="1.0" encoding="utf-8"?>
<ds:datastoreItem xmlns:ds="http://schemas.openxmlformats.org/officeDocument/2006/customXml" ds:itemID="{B4975527-76AD-4355-8010-BA70CB5A1D80}"/>
</file>

<file path=customXml/itemProps3.xml><?xml version="1.0" encoding="utf-8"?>
<ds:datastoreItem xmlns:ds="http://schemas.openxmlformats.org/officeDocument/2006/customXml" ds:itemID="{E71FC671-450F-4CED-A8B9-BC6BC6E0B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MrSang</dc:creator>
  <cp:lastModifiedBy>Admin</cp:lastModifiedBy>
  <cp:revision>3</cp:revision>
  <dcterms:created xsi:type="dcterms:W3CDTF">2019-03-01T05:14:00Z</dcterms:created>
  <dcterms:modified xsi:type="dcterms:W3CDTF">2019-03-01T08:03:00Z</dcterms:modified>
</cp:coreProperties>
</file>